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0B1F3A"/>
          <w:sz w:val="40"/>
        </w:rPr>
        <w:t>Pefok's PMO</w:t>
      </w:r>
    </w:p>
    <w:p>
      <w:r>
        <w:rPr>
          <w:i/>
          <w:color w:val="D4AF37"/>
          <w:sz w:val="18"/>
        </w:rPr>
        <w:t>Africa's Premier Project Management Institution</w:t>
      </w:r>
    </w:p>
    <w:p>
      <w:pPr>
        <w:pBdr>
          <w:bottom w:val="single" w:sz="12" w:color="D4AF37"/>
        </w:pBdr>
      </w:pPr>
    </w:p>
    <w:p>
      <w:r>
        <w:rPr>
          <w:b/>
          <w:color w:val="0B1F3A"/>
          <w:sz w:val="48"/>
        </w:rPr>
        <w:t>Business Case</w:t>
      </w:r>
    </w:p>
    <w:p>
      <w:r>
        <w:rPr>
          <w:i/>
          <w:color w:val="606060"/>
          <w:sz w:val="22"/>
        </w:rPr>
        <w:t>Investment justification for executive approval</w:t>
      </w:r>
    </w:p>
    <w:p/>
    <w:p>
      <w:r>
        <w:rPr>
          <w:b/>
          <w:color w:val="0B1F3A"/>
          <w:sz w:val="28"/>
        </w:rPr>
        <w:t>Executive Summary</w:t>
      </w:r>
    </w:p>
    <w:p>
      <w:r>
        <w:t>[One-page synthesis: what, why, cost, benefit, recommendation]</w:t>
      </w:r>
    </w:p>
    <w:p>
      <w:r>
        <w:rPr>
          <w:b/>
          <w:color w:val="0B1F3A"/>
          <w:sz w:val="28"/>
        </w:rPr>
        <w:t>1. Strategic Context</w:t>
      </w:r>
    </w:p>
    <w:p>
      <w:r>
        <w:rPr>
          <w:b/>
          <w:color w:val="D4AF37"/>
          <w:sz w:val="22"/>
        </w:rPr>
        <w:t>Organizational Strategy Alignment</w:t>
      </w:r>
    </w:p>
    <w:p>
      <w:r>
        <w:t>[How this initiative supports the current strategic plan]</w:t>
      </w:r>
    </w:p>
    <w:p>
      <w:r>
        <w:rPr>
          <w:b/>
          <w:color w:val="D4AF37"/>
          <w:sz w:val="22"/>
        </w:rPr>
        <w:t>Problem Statement</w:t>
      </w:r>
    </w:p>
    <w:p>
      <w:r>
        <w:t>[Quantified pain: cost, risk, revenue leakage, compliance gap]</w:t>
      </w:r>
    </w:p>
    <w:p>
      <w:r>
        <w:rPr>
          <w:b/>
          <w:color w:val="0B1F3A"/>
          <w:sz w:val="28"/>
        </w:rPr>
        <w:t>2. Options Analysis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1994"/>
            <w:shd w:fill="0B1F3A"/>
          </w:tcPr>
          <w:p>
            <w:r/>
            <w:r>
              <w:rPr>
                <w:b/>
                <w:color w:val="FFFFFF"/>
              </w:rPr>
              <w:t>Option</w:t>
            </w:r>
          </w:p>
        </w:tc>
        <w:tc>
          <w:tcPr>
            <w:tcW w:type="dxa" w:w="1994"/>
            <w:shd w:fill="0B1F3A"/>
          </w:tcPr>
          <w:p>
            <w:r/>
            <w:r>
              <w:rPr>
                <w:b/>
                <w:color w:val="FFFFFF"/>
              </w:rPr>
              <w:t>Description</w:t>
            </w:r>
          </w:p>
        </w:tc>
        <w:tc>
          <w:tcPr>
            <w:tcW w:type="dxa" w:w="1994"/>
            <w:shd w:fill="0B1F3A"/>
          </w:tcPr>
          <w:p>
            <w:r/>
            <w:r>
              <w:rPr>
                <w:b/>
                <w:color w:val="FFFFFF"/>
              </w:rPr>
              <w:t>CAPEX</w:t>
            </w:r>
          </w:p>
        </w:tc>
        <w:tc>
          <w:tcPr>
            <w:tcW w:type="dxa" w:w="1994"/>
            <w:shd w:fill="0B1F3A"/>
          </w:tcPr>
          <w:p>
            <w:r/>
            <w:r>
              <w:rPr>
                <w:b/>
                <w:color w:val="FFFFFF"/>
              </w:rPr>
              <w:t>OPEX (annual)</w:t>
            </w:r>
          </w:p>
        </w:tc>
        <w:tc>
          <w:tcPr>
            <w:tcW w:type="dxa" w:w="1994"/>
            <w:shd w:fill="0B1F3A"/>
          </w:tcPr>
          <w:p>
            <w:r/>
            <w:r>
              <w:rPr>
                <w:b/>
                <w:color w:val="FFFFFF"/>
              </w:rPr>
              <w:t>Risk</w:t>
            </w:r>
          </w:p>
        </w:tc>
      </w:tr>
      <w:tr>
        <w:tc>
          <w:tcPr>
            <w:tcW w:type="dxa" w:w="1994"/>
          </w:tcPr>
          <w:p>
            <w:r>
              <w:t>Do Nothing</w:t>
            </w:r>
          </w:p>
        </w:tc>
        <w:tc>
          <w:tcPr>
            <w:tcW w:type="dxa" w:w="1994"/>
          </w:tcPr>
          <w:p>
            <w:r>
              <w:t>Baseline</w:t>
            </w:r>
          </w:p>
        </w:tc>
        <w:tc>
          <w:tcPr>
            <w:tcW w:type="dxa" w:w="1994"/>
          </w:tcPr>
          <w:p>
            <w:r>
              <w:t>0</w:t>
            </w:r>
          </w:p>
        </w:tc>
        <w:tc>
          <w:tcPr>
            <w:tcW w:type="dxa" w:w="1994"/>
          </w:tcPr>
          <w:p>
            <w:r>
              <w:t>0</w:t>
            </w:r>
          </w:p>
        </w:tc>
        <w:tc>
          <w:tcPr>
            <w:tcW w:type="dxa" w:w="1994"/>
          </w:tcPr>
          <w:p>
            <w:r>
              <w:t>High</w:t>
            </w:r>
          </w:p>
        </w:tc>
      </w:tr>
      <w:tr>
        <w:tc>
          <w:tcPr>
            <w:tcW w:type="dxa" w:w="1994"/>
          </w:tcPr>
          <w:p>
            <w:r>
              <w:t>Minimum viable</w:t>
            </w:r>
          </w:p>
        </w:tc>
        <w:tc>
          <w:tcPr>
            <w:tcW w:type="dxa" w:w="1994"/>
          </w:tcPr>
          <w:p>
            <w:r>
              <w:t>Partial fix</w:t>
            </w:r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>
              <w:t>Medium</w:t>
            </w:r>
          </w:p>
        </w:tc>
      </w:tr>
      <w:tr>
        <w:tc>
          <w:tcPr>
            <w:tcW w:type="dxa" w:w="1994"/>
          </w:tcPr>
          <w:p>
            <w:r>
              <w:t>Recommended</w:t>
            </w:r>
          </w:p>
        </w:tc>
        <w:tc>
          <w:tcPr>
            <w:tcW w:type="dxa" w:w="1994"/>
          </w:tcPr>
          <w:p>
            <w:r>
              <w:t>Full solution</w:t>
            </w:r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>
              <w:t>Low</w:t>
            </w:r>
          </w:p>
        </w:tc>
      </w:tr>
      <w:tr>
        <w:tc>
          <w:tcPr>
            <w:tcW w:type="dxa" w:w="1994"/>
          </w:tcPr>
          <w:p>
            <w:r>
              <w:t>Alternative</w:t>
            </w:r>
          </w:p>
        </w:tc>
        <w:tc>
          <w:tcPr>
            <w:tcW w:type="dxa" w:w="1994"/>
          </w:tcPr>
          <w:p>
            <w:r>
              <w:t>Outsourced</w:t>
            </w:r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>
              <w:t>Medium</w:t>
            </w:r>
          </w:p>
        </w:tc>
      </w:tr>
    </w:tbl>
    <w:p>
      <w:r>
        <w:rPr>
          <w:b/>
          <w:color w:val="0B1F3A"/>
          <w:sz w:val="28"/>
        </w:rPr>
        <w:t>3. Financial Analysis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2835"/>
            <w:shd w:fill="F4F1E8"/>
          </w:tcPr>
          <w:p>
            <w:r/>
            <w:r>
              <w:rPr>
                <w:b/>
                <w:sz w:val="20"/>
              </w:rPr>
              <w:t>Total Investment (CAPEX + OPEX Y1)</w:t>
            </w:r>
          </w:p>
        </w:tc>
        <w:tc>
          <w:tcPr>
            <w:tcW w:type="dxa" w:w="6236"/>
          </w:tcPr>
          <w:p>
            <w:r/>
            <w:r>
              <w:rPr>
                <w:sz w:val="20"/>
              </w:rPr>
              <w:t>[XAF]</w:t>
            </w:r>
          </w:p>
        </w:tc>
      </w:tr>
      <w:tr>
        <w:tc>
          <w:tcPr>
            <w:tcW w:type="dxa" w:w="2835"/>
            <w:shd w:fill="F4F1E8"/>
          </w:tcPr>
          <w:p>
            <w:r/>
            <w:r>
              <w:rPr>
                <w:b/>
                <w:sz w:val="20"/>
              </w:rPr>
              <w:t>Payback Period</w:t>
            </w:r>
          </w:p>
        </w:tc>
        <w:tc>
          <w:tcPr>
            <w:tcW w:type="dxa" w:w="6236"/>
          </w:tcPr>
          <w:p>
            <w:r/>
            <w:r>
              <w:rPr>
                <w:sz w:val="20"/>
              </w:rPr>
              <w:t>[months]</w:t>
            </w:r>
          </w:p>
        </w:tc>
      </w:tr>
      <w:tr>
        <w:tc>
          <w:tcPr>
            <w:tcW w:type="dxa" w:w="2835"/>
            <w:shd w:fill="F4F1E8"/>
          </w:tcPr>
          <w:p>
            <w:r/>
            <w:r>
              <w:rPr>
                <w:b/>
                <w:sz w:val="20"/>
              </w:rPr>
              <w:t>Net Present Value (5 yr, 12% discount)</w:t>
            </w:r>
          </w:p>
        </w:tc>
        <w:tc>
          <w:tcPr>
            <w:tcW w:type="dxa" w:w="6236"/>
          </w:tcPr>
          <w:p>
            <w:r/>
            <w:r>
              <w:rPr>
                <w:sz w:val="20"/>
              </w:rPr>
              <w:t>[XAF]</w:t>
            </w:r>
          </w:p>
        </w:tc>
      </w:tr>
      <w:tr>
        <w:tc>
          <w:tcPr>
            <w:tcW w:type="dxa" w:w="2835"/>
            <w:shd w:fill="F4F1E8"/>
          </w:tcPr>
          <w:p>
            <w:r/>
            <w:r>
              <w:rPr>
                <w:b/>
                <w:sz w:val="20"/>
              </w:rPr>
              <w:t>Internal Rate of Return</w:t>
            </w:r>
          </w:p>
        </w:tc>
        <w:tc>
          <w:tcPr>
            <w:tcW w:type="dxa" w:w="6236"/>
          </w:tcPr>
          <w:p>
            <w:r/>
            <w:r>
              <w:rPr>
                <w:sz w:val="20"/>
              </w:rPr>
              <w:t>[%]</w:t>
            </w:r>
          </w:p>
        </w:tc>
      </w:tr>
      <w:tr>
        <w:tc>
          <w:tcPr>
            <w:tcW w:type="dxa" w:w="2835"/>
            <w:shd w:fill="F4F1E8"/>
          </w:tcPr>
          <w:p>
            <w:r/>
            <w:r>
              <w:rPr>
                <w:b/>
                <w:sz w:val="20"/>
              </w:rPr>
              <w:t>Break-even</w:t>
            </w:r>
          </w:p>
        </w:tc>
        <w:tc>
          <w:tcPr>
            <w:tcW w:type="dxa" w:w="6236"/>
          </w:tcPr>
          <w:p>
            <w:r/>
            <w:r>
              <w:rPr>
                <w:sz w:val="20"/>
              </w:rPr>
              <w:t>[Month/Year]</w:t>
            </w:r>
          </w:p>
        </w:tc>
      </w:tr>
    </w:tbl>
    <w:p>
      <w:r>
        <w:rPr>
          <w:b/>
          <w:color w:val="0B1F3A"/>
          <w:sz w:val="28"/>
        </w:rPr>
        <w:t>4. Benefits Realization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1994"/>
            <w:shd w:fill="0B1F3A"/>
          </w:tcPr>
          <w:p>
            <w:r/>
            <w:r>
              <w:rPr>
                <w:b/>
                <w:color w:val="FFFFFF"/>
              </w:rPr>
              <w:t>Benefit</w:t>
            </w:r>
          </w:p>
        </w:tc>
        <w:tc>
          <w:tcPr>
            <w:tcW w:type="dxa" w:w="1994"/>
            <w:shd w:fill="0B1F3A"/>
          </w:tcPr>
          <w:p>
            <w:r/>
            <w:r>
              <w:rPr>
                <w:b/>
                <w:color w:val="FFFFFF"/>
              </w:rPr>
              <w:t>Type</w:t>
            </w:r>
          </w:p>
        </w:tc>
        <w:tc>
          <w:tcPr>
            <w:tcW w:type="dxa" w:w="1994"/>
            <w:shd w:fill="0B1F3A"/>
          </w:tcPr>
          <w:p>
            <w:r/>
            <w:r>
              <w:rPr>
                <w:b/>
                <w:color w:val="FFFFFF"/>
              </w:rPr>
              <w:t>Value</w:t>
            </w:r>
          </w:p>
        </w:tc>
        <w:tc>
          <w:tcPr>
            <w:tcW w:type="dxa" w:w="1994"/>
            <w:shd w:fill="0B1F3A"/>
          </w:tcPr>
          <w:p>
            <w:r/>
            <w:r>
              <w:rPr>
                <w:b/>
                <w:color w:val="FFFFFF"/>
              </w:rPr>
              <w:t>Realization Date</w:t>
            </w:r>
          </w:p>
        </w:tc>
        <w:tc>
          <w:tcPr>
            <w:tcW w:type="dxa" w:w="1994"/>
            <w:shd w:fill="0B1F3A"/>
          </w:tcPr>
          <w:p>
            <w:r/>
            <w:r>
              <w:rPr>
                <w:b/>
                <w:color w:val="FFFFFF"/>
              </w:rPr>
              <w:t>Owner</w:t>
            </w:r>
          </w:p>
        </w:tc>
      </w:tr>
      <w:tr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</w:tr>
      <w:tr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</w:tr>
      <w:tr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</w:tr>
      <w:tr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</w:tr>
    </w:tbl>
    <w:p>
      <w:r>
        <w:rPr>
          <w:b/>
          <w:color w:val="0B1F3A"/>
          <w:sz w:val="28"/>
        </w:rPr>
        <w:t>5. Risks &amp; Sensitivities</w:t>
      </w:r>
    </w:p>
    <w:p>
      <w:pPr>
        <w:pStyle w:val="ListBullet"/>
      </w:pPr>
      <w:r>
        <w:t>[Risk] — Impact: [H/M/L] — Mitigation: [action]</w:t>
      </w:r>
    </w:p>
    <w:p>
      <w:pPr>
        <w:pStyle w:val="ListBullet"/>
      </w:pPr>
      <w:r>
        <w:t>[Risk] — Impact: [H/M/L] — Mitigation: [action]</w:t>
      </w:r>
    </w:p>
    <w:p>
      <w:pPr>
        <w:pStyle w:val="ListBullet"/>
      </w:pPr>
      <w:r>
        <w:t>[Risk] — Impact: [H/M/L] — Mitigation: [action]</w:t>
      </w:r>
    </w:p>
    <w:p>
      <w:pPr>
        <w:pStyle w:val="ListBullet"/>
      </w:pPr>
      <w:r>
        <w:t>[Risk] — Impact: [H/M/L] — Mitigation: [action]</w:t>
      </w:r>
    </w:p>
    <w:p>
      <w:r>
        <w:rPr>
          <w:b/>
          <w:color w:val="0B1F3A"/>
          <w:sz w:val="28"/>
        </w:rPr>
        <w:t>6. Recommendation</w:t>
      </w:r>
    </w:p>
    <w:p>
      <w:r>
        <w:t>[Clear recommendation with rationale and next steps]</w:t>
      </w:r>
    </w:p>
    <w:p>
      <w:r>
        <w:rPr>
          <w:b/>
          <w:color w:val="0B1F3A"/>
          <w:sz w:val="28"/>
        </w:rPr>
        <w:t>7. Approval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  <w:shd w:fill="0B1F3A"/>
          </w:tcPr>
          <w:p>
            <w:r/>
            <w:r>
              <w:rPr>
                <w:b/>
                <w:color w:val="FFFFFF"/>
              </w:rPr>
              <w:t>Role</w:t>
            </w:r>
          </w:p>
        </w:tc>
        <w:tc>
          <w:tcPr>
            <w:tcW w:type="dxa" w:w="2493"/>
            <w:shd w:fill="0B1F3A"/>
          </w:tcPr>
          <w:p>
            <w:r/>
            <w:r>
              <w:rPr>
                <w:b/>
                <w:color w:val="FFFFFF"/>
              </w:rPr>
              <w:t>Name</w:t>
            </w:r>
          </w:p>
        </w:tc>
        <w:tc>
          <w:tcPr>
            <w:tcW w:type="dxa" w:w="2493"/>
            <w:shd w:fill="0B1F3A"/>
          </w:tcPr>
          <w:p>
            <w:r/>
            <w:r>
              <w:rPr>
                <w:b/>
                <w:color w:val="FFFFFF"/>
              </w:rPr>
              <w:t>Signature</w:t>
            </w:r>
          </w:p>
        </w:tc>
        <w:tc>
          <w:tcPr>
            <w:tcW w:type="dxa" w:w="2493"/>
            <w:shd w:fill="0B1F3A"/>
          </w:tcPr>
          <w:p>
            <w:r/>
            <w:r>
              <w:rPr>
                <w:b/>
                <w:color w:val="FFFFFF"/>
              </w:rPr>
              <w:t>Date</w:t>
            </w:r>
          </w:p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</w:tbl>
    <w:sectPr w:rsidR="00FC693F" w:rsidRPr="0006063C" w:rsidSect="00034616">
      <w:footerReference w:type="default" r:id="rId9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808080"/>
        <w:sz w:val="16"/>
      </w:rPr>
      <w:t>Pefok's PMO  •  info@pefokpmo.com  |  +237 6 80 74 80 72  |  Molyko, Buea, Cameroon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