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B1F3A"/>
          <w:sz w:val="40"/>
        </w:rPr>
        <w:t>Pefok's PMO</w:t>
      </w:r>
    </w:p>
    <w:p>
      <w:r>
        <w:rPr>
          <w:i/>
          <w:color w:val="D4AF37"/>
          <w:sz w:val="18"/>
        </w:rPr>
        <w:t>Africa's Premier Project Management Institution</w:t>
      </w:r>
    </w:p>
    <w:p>
      <w:pPr>
        <w:pBdr>
          <w:bottom w:val="single" w:sz="12" w:color="D4AF37"/>
        </w:pBdr>
      </w:pPr>
    </w:p>
    <w:p>
      <w:r>
        <w:rPr>
          <w:b/>
          <w:color w:val="0B1F3A"/>
          <w:sz w:val="48"/>
        </w:rPr>
        <w:t>Communication Management Plan</w:t>
      </w:r>
    </w:p>
    <w:p>
      <w:r>
        <w:rPr>
          <w:i/>
          <w:color w:val="606060"/>
          <w:sz w:val="22"/>
        </w:rPr>
        <w:t>Structured stakeholder engagement across the project lifecycle</w:t>
      </w:r>
    </w:p>
    <w:p/>
    <w:p>
      <w:r>
        <w:rPr>
          <w:b/>
          <w:color w:val="0B1F3A"/>
          <w:sz w:val="28"/>
        </w:rPr>
        <w:t>1. Purpose</w:t>
      </w:r>
    </w:p>
    <w:p>
      <w:r>
        <w:t>This plan defines how, when, and to whom project information is delivered. It ensures the right stakeholders receive the right information at the right time — a core principle of the Pefok Delivery Model™.</w:t>
      </w:r>
    </w:p>
    <w:p>
      <w:r>
        <w:rPr>
          <w:b/>
          <w:color w:val="0B1F3A"/>
          <w:sz w:val="28"/>
        </w:rPr>
        <w:t>2. Communication Objectives</w:t>
      </w:r>
    </w:p>
    <w:p>
      <w:pPr>
        <w:pStyle w:val="ListBullet"/>
      </w:pPr>
      <w:r>
        <w:t>Keep sponsors and steering committee informed of progress, risks, and decisions required</w:t>
      </w:r>
    </w:p>
    <w:p>
      <w:pPr>
        <w:pStyle w:val="ListBullet"/>
      </w:pPr>
      <w:r>
        <w:t>Align the delivery team on scope, priorities, and dependencies</w:t>
      </w:r>
    </w:p>
    <w:p>
      <w:pPr>
        <w:pStyle w:val="ListBullet"/>
      </w:pPr>
      <w:r>
        <w:t>Manage stakeholder expectations proactively</w:t>
      </w:r>
    </w:p>
    <w:p>
      <w:pPr>
        <w:pStyle w:val="ListBullet"/>
      </w:pPr>
      <w:r>
        <w:t>Create an auditable record of decisions and changes</w:t>
      </w:r>
    </w:p>
    <w:p>
      <w:r>
        <w:rPr>
          <w:b/>
          <w:color w:val="0B1F3A"/>
          <w:sz w:val="28"/>
        </w:rPr>
        <w:t>3. Communication Matrix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Audience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Information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Channel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Frequency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Format</w:t>
            </w:r>
          </w:p>
        </w:tc>
      </w:tr>
      <w:tr>
        <w:tc>
          <w:tcPr>
            <w:tcW w:type="dxa" w:w="1662"/>
          </w:tcPr>
          <w:p>
            <w:r>
              <w:t>Steering Committee</w:t>
            </w:r>
          </w:p>
        </w:tc>
        <w:tc>
          <w:tcPr>
            <w:tcW w:type="dxa" w:w="1662"/>
          </w:tcPr>
          <w:p>
            <w:r>
              <w:t>Progress, decisions, risks</w:t>
            </w:r>
          </w:p>
        </w:tc>
        <w:tc>
          <w:tcPr>
            <w:tcW w:type="dxa" w:w="1662"/>
          </w:tcPr>
          <w:p>
            <w:r>
              <w:t>In-person / Teams</w:t>
            </w:r>
          </w:p>
        </w:tc>
        <w:tc>
          <w:tcPr>
            <w:tcW w:type="dxa" w:w="1662"/>
          </w:tcPr>
          <w:p>
            <w:r>
              <w:t>Monthly</w:t>
            </w:r>
          </w:p>
        </w:tc>
        <w:tc>
          <w:tcPr>
            <w:tcW w:type="dxa" w:w="1662"/>
          </w:tcPr>
          <w:p>
            <w:r>
              <w:t>PM</w:t>
            </w:r>
          </w:p>
        </w:tc>
        <w:tc>
          <w:tcPr>
            <w:tcW w:type="dxa" w:w="1662"/>
          </w:tcPr>
          <w:p>
            <w:r>
              <w:t>Deck + minutes</w:t>
            </w:r>
          </w:p>
        </w:tc>
      </w:tr>
      <w:tr>
        <w:tc>
          <w:tcPr>
            <w:tcW w:type="dxa" w:w="1662"/>
          </w:tcPr>
          <w:p>
            <w:r>
              <w:t>Sponsor</w:t>
            </w:r>
          </w:p>
        </w:tc>
        <w:tc>
          <w:tcPr>
            <w:tcW w:type="dxa" w:w="1662"/>
          </w:tcPr>
          <w:p>
            <w:r>
              <w:t>Escalations, key metrics</w:t>
            </w:r>
          </w:p>
        </w:tc>
        <w:tc>
          <w:tcPr>
            <w:tcW w:type="dxa" w:w="1662"/>
          </w:tcPr>
          <w:p>
            <w:r>
              <w:t>1:1 meeting</w:t>
            </w:r>
          </w:p>
        </w:tc>
        <w:tc>
          <w:tcPr>
            <w:tcW w:type="dxa" w:w="1662"/>
          </w:tcPr>
          <w:p>
            <w:r>
              <w:t>Bi-weekly</w:t>
            </w:r>
          </w:p>
        </w:tc>
        <w:tc>
          <w:tcPr>
            <w:tcW w:type="dxa" w:w="1662"/>
          </w:tcPr>
          <w:p>
            <w:r>
              <w:t>PM</w:t>
            </w:r>
          </w:p>
        </w:tc>
        <w:tc>
          <w:tcPr>
            <w:tcW w:type="dxa" w:w="1662"/>
          </w:tcPr>
          <w:p>
            <w:r>
              <w:t>Dashboard</w:t>
            </w:r>
          </w:p>
        </w:tc>
      </w:tr>
      <w:tr>
        <w:tc>
          <w:tcPr>
            <w:tcW w:type="dxa" w:w="1662"/>
          </w:tcPr>
          <w:p>
            <w:r>
              <w:t>Project Team</w:t>
            </w:r>
          </w:p>
        </w:tc>
        <w:tc>
          <w:tcPr>
            <w:tcW w:type="dxa" w:w="1662"/>
          </w:tcPr>
          <w:p>
            <w:r>
              <w:t>Tasks, blockers</w:t>
            </w:r>
          </w:p>
        </w:tc>
        <w:tc>
          <w:tcPr>
            <w:tcW w:type="dxa" w:w="1662"/>
          </w:tcPr>
          <w:p>
            <w:r>
              <w:t>Stand-up</w:t>
            </w:r>
          </w:p>
        </w:tc>
        <w:tc>
          <w:tcPr>
            <w:tcW w:type="dxa" w:w="1662"/>
          </w:tcPr>
          <w:p>
            <w:r>
              <w:t>Daily</w:t>
            </w:r>
          </w:p>
        </w:tc>
        <w:tc>
          <w:tcPr>
            <w:tcW w:type="dxa" w:w="1662"/>
          </w:tcPr>
          <w:p>
            <w:r>
              <w:t>Scrum Master</w:t>
            </w:r>
          </w:p>
        </w:tc>
        <w:tc>
          <w:tcPr>
            <w:tcW w:type="dxa" w:w="1662"/>
          </w:tcPr>
          <w:p>
            <w:r>
              <w:t>Verbal</w:t>
            </w:r>
          </w:p>
        </w:tc>
      </w:tr>
      <w:tr>
        <w:tc>
          <w:tcPr>
            <w:tcW w:type="dxa" w:w="1662"/>
          </w:tcPr>
          <w:p>
            <w:r>
              <w:t>PMO</w:t>
            </w:r>
          </w:p>
        </w:tc>
        <w:tc>
          <w:tcPr>
            <w:tcW w:type="dxa" w:w="1662"/>
          </w:tcPr>
          <w:p>
            <w:r>
              <w:t>RAID, forecast</w:t>
            </w:r>
          </w:p>
        </w:tc>
        <w:tc>
          <w:tcPr>
            <w:tcW w:type="dxa" w:w="1662"/>
          </w:tcPr>
          <w:p>
            <w:r>
              <w:t>Report</w:t>
            </w:r>
          </w:p>
        </w:tc>
        <w:tc>
          <w:tcPr>
            <w:tcW w:type="dxa" w:w="1662"/>
          </w:tcPr>
          <w:p>
            <w:r>
              <w:t>Weekly</w:t>
            </w:r>
          </w:p>
        </w:tc>
        <w:tc>
          <w:tcPr>
            <w:tcW w:type="dxa" w:w="1662"/>
          </w:tcPr>
          <w:p>
            <w:r>
              <w:t>PM</w:t>
            </w:r>
          </w:p>
        </w:tc>
        <w:tc>
          <w:tcPr>
            <w:tcW w:type="dxa" w:w="1662"/>
          </w:tcPr>
          <w:p>
            <w:r>
              <w:t>Status template</w:t>
            </w:r>
          </w:p>
        </w:tc>
      </w:tr>
      <w:tr>
        <w:tc>
          <w:tcPr>
            <w:tcW w:type="dxa" w:w="1662"/>
          </w:tcPr>
          <w:p>
            <w:r>
              <w:t>End Users</w:t>
            </w:r>
          </w:p>
        </w:tc>
        <w:tc>
          <w:tcPr>
            <w:tcW w:type="dxa" w:w="1662"/>
          </w:tcPr>
          <w:p>
            <w:r>
              <w:t>Change impact, training</w:t>
            </w:r>
          </w:p>
        </w:tc>
        <w:tc>
          <w:tcPr>
            <w:tcW w:type="dxa" w:w="1662"/>
          </w:tcPr>
          <w:p>
            <w:r>
              <w:t>Email + workshop</w:t>
            </w:r>
          </w:p>
        </w:tc>
        <w:tc>
          <w:tcPr>
            <w:tcW w:type="dxa" w:w="1662"/>
          </w:tcPr>
          <w:p>
            <w:r>
              <w:t>Per milestone</w:t>
            </w:r>
          </w:p>
        </w:tc>
        <w:tc>
          <w:tcPr>
            <w:tcW w:type="dxa" w:w="1662"/>
          </w:tcPr>
          <w:p>
            <w:r>
              <w:t>Change Lead</w:t>
            </w:r>
          </w:p>
        </w:tc>
        <w:tc>
          <w:tcPr>
            <w:tcW w:type="dxa" w:w="1662"/>
          </w:tcPr>
          <w:p>
            <w:r>
              <w:t>Comms pack</w:t>
            </w:r>
          </w:p>
        </w:tc>
      </w:tr>
      <w:tr>
        <w:tc>
          <w:tcPr>
            <w:tcW w:type="dxa" w:w="1662"/>
          </w:tcPr>
          <w:p>
            <w:r>
              <w:t>Vendors</w:t>
            </w:r>
          </w:p>
        </w:tc>
        <w:tc>
          <w:tcPr>
            <w:tcW w:type="dxa" w:w="1662"/>
          </w:tcPr>
          <w:p>
            <w:r>
              <w:t>Deliverables, invoices</w:t>
            </w:r>
          </w:p>
        </w:tc>
        <w:tc>
          <w:tcPr>
            <w:tcW w:type="dxa" w:w="1662"/>
          </w:tcPr>
          <w:p>
            <w:r>
              <w:t>Email + review</w:t>
            </w:r>
          </w:p>
        </w:tc>
        <w:tc>
          <w:tcPr>
            <w:tcW w:type="dxa" w:w="1662"/>
          </w:tcPr>
          <w:p>
            <w:r>
              <w:t>Weekly</w:t>
            </w:r>
          </w:p>
        </w:tc>
        <w:tc>
          <w:tcPr>
            <w:tcW w:type="dxa" w:w="1662"/>
          </w:tcPr>
          <w:p>
            <w:r>
              <w:t>Procurement</w:t>
            </w:r>
          </w:p>
        </w:tc>
        <w:tc>
          <w:tcPr>
            <w:tcW w:type="dxa" w:w="1662"/>
          </w:tcPr>
          <w:p>
            <w:r>
              <w:t>Formal letter</w:t>
            </w:r>
          </w:p>
        </w:tc>
      </w:tr>
      <w:tr>
        <w:tc>
          <w:tcPr>
            <w:tcW w:type="dxa" w:w="1662"/>
          </w:tcPr>
          <w:p>
            <w:r>
              <w:t>Regulators</w:t>
            </w:r>
          </w:p>
        </w:tc>
        <w:tc>
          <w:tcPr>
            <w:tcW w:type="dxa" w:w="1662"/>
          </w:tcPr>
          <w:p>
            <w:r>
              <w:t>Compliance updates</w:t>
            </w:r>
          </w:p>
        </w:tc>
        <w:tc>
          <w:tcPr>
            <w:tcW w:type="dxa" w:w="1662"/>
          </w:tcPr>
          <w:p>
            <w:r>
              <w:t>Formal letter</w:t>
            </w:r>
          </w:p>
        </w:tc>
        <w:tc>
          <w:tcPr>
            <w:tcW w:type="dxa" w:w="1662"/>
          </w:tcPr>
          <w:p>
            <w:r>
              <w:t>As required</w:t>
            </w:r>
          </w:p>
        </w:tc>
        <w:tc>
          <w:tcPr>
            <w:tcW w:type="dxa" w:w="1662"/>
          </w:tcPr>
          <w:p>
            <w:r>
              <w:t>Sponsor</w:t>
            </w:r>
          </w:p>
        </w:tc>
        <w:tc>
          <w:tcPr>
            <w:tcW w:type="dxa" w:w="1662"/>
          </w:tcPr>
          <w:p>
            <w:r>
              <w:t>Signed doc</w:t>
            </w:r>
          </w:p>
        </w:tc>
      </w:tr>
    </w:tbl>
    <w:p>
      <w:r>
        <w:rPr>
          <w:b/>
          <w:color w:val="0B1F3A"/>
          <w:sz w:val="28"/>
        </w:rPr>
        <w:t>4. Escalation Path</w:t>
      </w:r>
    </w:p>
    <w:p>
      <w:pPr>
        <w:pStyle w:val="ListNumber"/>
      </w:pPr>
      <w:r>
        <w:t>Level 1 — Project Manager (resolves within 24h)</w:t>
      </w:r>
    </w:p>
    <w:p>
      <w:pPr>
        <w:pStyle w:val="ListNumber"/>
      </w:pPr>
      <w:r>
        <w:t>Level 2 — PMO Director (resolves within 48h)</w:t>
      </w:r>
    </w:p>
    <w:p>
      <w:pPr>
        <w:pStyle w:val="ListNumber"/>
      </w:pPr>
      <w:r>
        <w:t>Level 3 — Project Sponsor (resolves within 72h)</w:t>
      </w:r>
    </w:p>
    <w:p>
      <w:pPr>
        <w:pStyle w:val="ListNumber"/>
      </w:pPr>
      <w:r>
        <w:t>Level 4 — Steering Committee (next scheduled or emergency session)</w:t>
      </w:r>
    </w:p>
    <w:p>
      <w:r>
        <w:rPr>
          <w:b/>
          <w:color w:val="0B1F3A"/>
          <w:sz w:val="28"/>
        </w:rPr>
        <w:t>5. Meeting Governance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Agenda distribution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24 hours before meeting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Minutes distribution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Within 24 hours after meeting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Decision log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Maintained in project SharePoint / Drive</w:t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Attendance quorum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Sponsor + PM + minimum 2 workstream leads</w:t>
            </w:r>
          </w:p>
        </w:tc>
      </w:tr>
    </w:tbl>
    <w:p>
      <w:r>
        <w:rPr>
          <w:b/>
          <w:color w:val="0B1F3A"/>
          <w:sz w:val="28"/>
        </w:rPr>
        <w:t>6. Tools &amp; Repositories</w:t>
      </w:r>
    </w:p>
    <w:p>
      <w:pPr>
        <w:pStyle w:val="ListBullet"/>
      </w:pPr>
      <w:r>
        <w:t>Collaboration: Microsoft Teams / Slack</w:t>
      </w:r>
    </w:p>
    <w:p>
      <w:pPr>
        <w:pStyle w:val="ListBullet"/>
      </w:pPr>
      <w:r>
        <w:t>Documents: SharePoint / Google Drive</w:t>
      </w:r>
    </w:p>
    <w:p>
      <w:pPr>
        <w:pStyle w:val="ListBullet"/>
      </w:pPr>
      <w:r>
        <w:t>Task tracking: Jira / MS Project / Monday.com</w:t>
      </w:r>
    </w:p>
    <w:p>
      <w:pPr>
        <w:pStyle w:val="ListBullet"/>
      </w:pPr>
      <w:r>
        <w:t>Dashboards: Power BI / Tableau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6"/>
      </w:rPr>
      <w:t>Pefok's PMO  •  info@pefokpmo.com  |  +237 6 80 74 80 72  |  Molyko, Buea, Cameroon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